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Hardware Health — Product Brief</w:t>
      </w:r>
    </w:p>
    <w:p>
      <w:r>
        <w:t>Generated by /nucleus-plan-ado from the discovery workbook. The brief covers Sections 1 (Product Brief) and 2 (Process Map). The detailed troubleshooting flow lives in Appendix A (full-page diagram); the Feature / Story breakdown lives in Appendix B (full-page table). The engineering-facing AZDO (Azure DevOps) import template is in the sidecar `&lt;workbook-stem&gt;_azdo-template.csv` — not in this document.</w:t>
      </w:r>
    </w:p>
    <w:p>
      <w:pPr>
        <w:pStyle w:val="Heading1"/>
        <w:jc w:val="left"/>
      </w:pPr>
      <w:r>
        <w:t>1. Product Brief</w:t>
      </w:r>
    </w:p>
    <w:p>
      <w:r>
        <w:rPr>
          <w:b/>
        </w:rPr>
        <w:t xml:space="preserve">Workstream: </w:t>
      </w:r>
      <w:r>
        <w:t>Hardware Health</w:t>
      </w:r>
    </w:p>
    <w:p>
      <w:r>
        <w:rPr>
          <w:b/>
        </w:rPr>
        <w:t xml:space="preserve">Problem Statement: </w:t>
      </w:r>
      <w:r>
        <w:t>Power-supply alerts on Cisco access switches are frequent and noisy, and every one is triaged by hand today. Engineers spend 15-20 minutes per alert on the CLI confirming whether a PSU (Power Supply Unit) has genuinely failed, whether redundancy is lost, or whether the event was a transient blip - and transient events often sit open for hours before anyone closes them.</w:t>
      </w:r>
    </w:p>
    <w:p>
      <w:r>
        <w:rPr>
          <w:b/>
        </w:rPr>
        <w:t xml:space="preserve">Additional Comments: </w:t>
      </w:r>
      <w:r>
        <w:t>MVP (Minimum Viable Product) scoped to Cisco Catalyst 9200 / 9300 access switches, standalone and stacked. Covers PSU failure or removal, lost power redundancy, input-feed loss, PoE (Power over Ethernet) budget exhaustion and flapping supplies. Modular / chassis platforms are out of scope for the MVP. The agent runs read-only show commands - it makes no configuration changes.</w:t>
      </w:r>
    </w:p>
    <w:p>
      <w:r>
        <w:rPr>
          <w:b/>
        </w:rPr>
        <w:t xml:space="preserve">Process Owner: </w:t>
      </w:r>
      <w:r>
        <w:t>Network Operations Lead</w:t>
      </w:r>
    </w:p>
    <w:p>
      <w:r>
        <w:rPr>
          <w:b/>
        </w:rPr>
        <w:t>Success KPIs (Key Performance Indicators)</w:t>
      </w:r>
    </w:p>
    <w:p>
      <w:pPr>
        <w:pStyle w:val="ListBullet"/>
      </w:pPr>
      <w:r>
        <w:t>Reduce Mean Time to Resolve (MTTR)</w:t>
      </w:r>
    </w:p>
    <w:p>
      <w:pPr>
        <w:pStyle w:val="ListBullet"/>
      </w:pPr>
      <w:r>
        <w:t>Time Savings</w:t>
      </w:r>
    </w:p>
    <w:p>
      <w:r>
        <w:rPr>
          <w:b/>
        </w:rPr>
        <w:t>Operators</w:t>
      </w:r>
    </w:p>
    <w:p>
      <w:pPr>
        <w:pStyle w:val="ListBullet"/>
      </w:pPr>
      <w:r>
        <w:t>Network Operations team</w:t>
      </w:r>
    </w:p>
    <w:p>
      <w:pPr>
        <w:pStyle w:val="ListBullet"/>
      </w:pPr>
      <w:r>
        <w:t>Network Manager</w:t>
      </w:r>
    </w:p>
    <w:p>
      <w:r>
        <w:rPr>
          <w:b/>
        </w:rPr>
        <w:t>Cross-Stage Features</w:t>
      </w:r>
    </w:p>
    <w:p>
      <w:pPr>
        <w:pStyle w:val="ListBullet"/>
      </w:pPr>
      <w:r>
        <w:t>Incident Detection</w:t>
      </w:r>
    </w:p>
    <w:p>
      <w:pPr>
        <w:pStyle w:val="ListBullet"/>
      </w:pPr>
      <w:r>
        <w:t>Incident Logging</w:t>
      </w:r>
    </w:p>
    <w:p>
      <w:pPr>
        <w:pStyle w:val="ListBullet"/>
      </w:pPr>
      <w:r>
        <w:t>Incident Prioritisation &amp; Categorisation</w:t>
      </w:r>
    </w:p>
    <w:p>
      <w:pPr>
        <w:pStyle w:val="ListBullet"/>
      </w:pPr>
      <w:r>
        <w:t>Reporting &amp; KPIs</w:t>
      </w:r>
    </w:p>
    <w:p>
      <w:pPr>
        <w:pStyle w:val="ListBullet"/>
      </w:pPr>
      <w:r>
        <w:t>Build &amp; Testing</w:t>
      </w:r>
    </w:p>
    <w:p>
      <w:pPr>
        <w:pStyle w:val="ListBullet"/>
      </w:pPr>
      <w:r>
        <w:t>Release Checklist</w:t>
      </w:r>
    </w:p>
    <w:p>
      <w:r>
        <w:br w:type="page"/>
      </w:r>
    </w:p>
    <w:p>
      <w:pPr>
        <w:pStyle w:val="Heading1"/>
        <w:jc w:val="left"/>
      </w:pPr>
      <w:r>
        <w:t>2. Process Map</w:t>
      </w:r>
    </w:p>
    <w:p>
      <w:r>
        <w:t>The incident workflow for Hardware Health follows the canonical six-stage Block Project Nucleus pattern: Detection → Logging → Prioritisation → Investigation &amp; Diagnosis → Resolution and Recovery → Close, with parallel Major Incident, Escalation, and Validation branches off the diagnostic and recovery stages.</w:t>
      </w:r>
    </w:p>
    <w:p>
      <w:r>
        <w:t>The scenario-wide canonical process-map.png was not found — engineering should add one at `workflows_&lt;scenario&gt;/process-map.png` so future briefs render the reference diagram automatically.</w:t>
      </w:r>
    </w:p>
    <w:p>
      <w:r>
        <w:t>The feature and story breakdown is in Appendix A (full-page portrait table). The SME (Subject-Matter Expert)'s specific troubleshooting flow for this scenario is embedded as Appendix B (full-page portrait diagram).</w:t>
      </w:r>
    </w:p>
    <w:p>
      <w:pPr>
        <w:sectPr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pStyle w:val="Heading1"/>
        <w:jc w:val="left"/>
      </w:pPr>
      <w:r>
        <w:t>Appendix A — Features and Stories</w:t>
      </w:r>
    </w:p>
    <w:p>
      <w:r>
        <w:t>The features and stories below are derived from the workbook's Cross-Stage Features list (Sheet 1), troubleshooting tree (Sheets 2 / 3 / 4), Metrics (Sheet 5), and Release Plan (Sheet 6). The engineering-facing version with code references (Step IDs, Outcome IDs, Epic / Feature / Story / Task work-item shape) is in the `&lt;workbook-stem&gt;_azdo-template.csv` sidecar — ready to import directly into Azure DevOps.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BFBFBF"/>
          <w:left w:val="single" w:sz="4" w:color="BFBFBF"/>
          <w:bottom w:val="single" w:sz="4" w:color="BFBFBF"/>
          <w:right w:val="single" w:sz="4" w:color="BFBFBF"/>
          <w:insideH w:val="single" w:sz="4" w:color="BFBFBF"/>
          <w:insideV w:val="single" w:sz="4" w:color="BFBFBF"/>
        </w:tblBorders>
      </w:tblPr>
      <w:tblGrid>
        <w:gridCol w:w="2016"/>
        <w:gridCol w:w="2880"/>
        <w:gridCol w:w="2880"/>
        <w:gridCol w:w="3024"/>
      </w:tblGrid>
      <w:tr>
        <w:tc>
          <w:tcPr>
            <w:tcW w:type="dxa" w:w="2700"/>
            <w:vAlign w:val="center"/>
            <w:shd w:val="clear" w:color="auto" w:fill="E0F2F1"/>
          </w:tcPr>
          <w:p>
            <w:r>
              <w:rPr>
                <w:b/>
              </w:rPr>
              <w:t>Feature</w:t>
            </w:r>
          </w:p>
        </w:tc>
        <w:tc>
          <w:tcPr>
            <w:tcW w:type="dxa" w:w="2700"/>
            <w:vAlign w:val="center"/>
            <w:shd w:val="clear" w:color="auto" w:fill="E0F2F1"/>
          </w:tcPr>
          <w:p>
            <w:r>
              <w:rPr>
                <w:b/>
              </w:rPr>
              <w:t>Story</w:t>
            </w:r>
          </w:p>
        </w:tc>
        <w:tc>
          <w:tcPr>
            <w:tcW w:type="dxa" w:w="2700"/>
            <w:vAlign w:val="center"/>
            <w:shd w:val="clear" w:color="auto" w:fill="E0F2F1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700"/>
            <w:vAlign w:val="center"/>
            <w:shd w:val="clear" w:color="auto" w:fill="E0F2F1"/>
          </w:tcPr>
          <w:p>
            <w:r>
              <w:rPr>
                <w:b/>
              </w:rPr>
              <w:t>Tasks</w:t>
            </w:r>
          </w:p>
        </w:tc>
      </w:tr>
      <w:tr>
        <w:tc>
          <w:tcPr>
            <w:tcW w:type="dxa" w:w="2016"/>
          </w:tcPr>
          <w:p>
            <w:r>
              <w:t>Incident Detection</w:t>
            </w:r>
          </w:p>
        </w:tc>
        <w:tc>
          <w:tcPr>
            <w:tcW w:type="dxa" w:w="2880"/>
          </w:tcPr>
          <w:p>
            <w:r>
              <w:t>Issue Type Research &amp; Selection</w:t>
            </w:r>
          </w:p>
        </w:tc>
        <w:tc>
          <w:tcPr>
            <w:tcW w:type="dxa" w:w="2880"/>
          </w:tcPr>
          <w:p>
            <w:r>
              <w:t>Research with engineering and review of historical tickets to identify the single source-platform event that fires for the MVP (Minimum Viable Product) issue type the agent will handle.</w:t>
            </w:r>
          </w:p>
        </w:tc>
        <w:tc>
          <w:tcPr>
            <w:tcW w:type="dxa" w:w="3024"/>
          </w:tcPr>
          <w:p>
            <w:pPr>
              <w:pStyle w:val="ListBullet"/>
            </w:pPr>
            <w:r/>
            <w:r>
              <w:t>Review historical tickets for this issue type</w:t>
            </w:r>
          </w:p>
          <w:p>
            <w:pPr>
              <w:pStyle w:val="ListBullet"/>
            </w:pPr>
            <w:r>
              <w:t>Identify the canonical triggering event</w:t>
            </w:r>
          </w:p>
          <w:p>
            <w:pPr>
              <w:pStyle w:val="ListBullet"/>
            </w:pPr>
            <w:r>
              <w:t>Document the trigger + sample payloads</w:t>
            </w:r>
          </w:p>
        </w:tc>
      </w:tr>
      <w:tr>
        <w:tc>
          <w:tcPr>
            <w:tcW w:type="dxa" w:w="2016"/>
          </w:tcPr>
          <w:p>
            <w:r>
              <w:t>Incident Detection</w:t>
            </w:r>
          </w:p>
        </w:tc>
        <w:tc>
          <w:tcPr>
            <w:tcW w:type="dxa" w:w="2880"/>
          </w:tcPr>
          <w:p>
            <w:r>
              <w:t>Incident Detection — source platform</w:t>
            </w:r>
          </w:p>
        </w:tc>
        <w:tc>
          <w:tcPr>
            <w:tcW w:type="dxa" w:w="2880"/>
          </w:tcPr>
          <w:p>
            <w:r>
              <w:t>Configure source platform to trigger a SNOW (ServiceNow) event when the MVP issue type fires.</w:t>
            </w:r>
          </w:p>
        </w:tc>
        <w:tc>
          <w:tcPr>
            <w:tcW w:type="dxa" w:w="3024"/>
          </w:tcPr>
          <w:p>
            <w:pPr>
              <w:pStyle w:val="ListBullet"/>
            </w:pPr>
            <w:r/>
            <w:r>
              <w:t>Configure the source platform event rule</w:t>
            </w:r>
          </w:p>
          <w:p>
            <w:pPr>
              <w:pStyle w:val="ListBullet"/>
            </w:pPr>
            <w:r>
              <w:t>Configure the SNOW (ServiceNow) webhook receiver</w:t>
            </w:r>
          </w:p>
          <w:p>
            <w:pPr>
              <w:pStyle w:val="ListBullet"/>
            </w:pPr>
            <w:r>
              <w:t>Smoke-test the detection flow</w:t>
            </w:r>
          </w:p>
        </w:tc>
      </w:tr>
      <w:tr>
        <w:tc>
          <w:tcPr>
            <w:tcW w:type="dxa" w:w="2016"/>
          </w:tcPr>
          <w:p>
            <w:r>
              <w:t>Incident Logging</w:t>
            </w:r>
          </w:p>
        </w:tc>
        <w:tc>
          <w:tcPr>
            <w:tcW w:type="dxa" w:w="2880"/>
          </w:tcPr>
          <w:p>
            <w:r>
              <w:t>ServiceNow Incident Creation</w:t>
            </w:r>
          </w:p>
        </w:tc>
        <w:tc>
          <w:tcPr>
            <w:tcW w:type="dxa" w:w="2880"/>
          </w:tcPr>
          <w:p>
            <w:r>
              <w:t>source platform event automatically creates a SNOW (ServiceNow) incident with the affected entity attached and the source event payload preserved in the work-notes.</w:t>
            </w:r>
          </w:p>
        </w:tc>
        <w:tc>
          <w:tcPr>
            <w:tcW w:type="dxa" w:w="3024"/>
          </w:tcPr>
          <w:p>
            <w:pPr>
              <w:pStyle w:val="ListBullet"/>
            </w:pPr>
            <w:r/>
            <w:r>
              <w:t>Configure the event-to-INC creation rule</w:t>
            </w:r>
          </w:p>
          <w:p>
            <w:pPr>
              <w:pStyle w:val="ListBullet"/>
            </w:pPr>
            <w:r>
              <w:t>Map source-platform fields to incident attributes</w:t>
            </w:r>
          </w:p>
          <w:p>
            <w:pPr>
              <w:pStyle w:val="ListBullet"/>
            </w:pPr>
            <w:r>
              <w:t>Unit-test incident creation</w:t>
            </w:r>
          </w:p>
        </w:tc>
      </w:tr>
      <w:tr>
        <w:tc>
          <w:tcPr>
            <w:tcW w:type="dxa" w:w="2016"/>
          </w:tcPr>
          <w:p>
            <w:r>
              <w:t>Incident Logging</w:t>
            </w:r>
          </w:p>
        </w:tc>
        <w:tc>
          <w:tcPr>
            <w:tcW w:type="dxa" w:w="2880"/>
          </w:tcPr>
          <w:p>
            <w:r>
              <w:t>Event Correlation</w:t>
            </w:r>
          </w:p>
        </w:tc>
        <w:tc>
          <w:tcPr>
            <w:tcW w:type="dxa" w:w="2880"/>
          </w:tcPr>
          <w:p>
            <w:r>
              <w:t>Multiple source platform events triggered for the same underlying incident are correlated into a single SNOW (ServiceNow) INC so the engineer sees one ticket, not a storm.</w:t>
            </w:r>
          </w:p>
        </w:tc>
        <w:tc>
          <w:tcPr>
            <w:tcW w:type="dxa" w:w="3024"/>
          </w:tcPr>
          <w:p>
            <w:pPr>
              <w:pStyle w:val="ListBullet"/>
            </w:pPr>
            <w:r/>
            <w:r>
              <w:t>Define the correlation logic</w:t>
            </w:r>
          </w:p>
          <w:p>
            <w:pPr>
              <w:pStyle w:val="ListBullet"/>
            </w:pPr>
            <w:r>
              <w:t>Configure the SNOW dedup / correlation rule</w:t>
            </w:r>
          </w:p>
          <w:p>
            <w:pPr>
              <w:pStyle w:val="ListBullet"/>
            </w:pPr>
            <w:r>
              <w:t>Unit-test correlation</w:t>
            </w:r>
          </w:p>
        </w:tc>
      </w:tr>
      <w:tr>
        <w:tc>
          <w:tcPr>
            <w:tcW w:type="dxa" w:w="2016"/>
          </w:tcPr>
          <w:p>
            <w:r>
              <w:t>Incident Prioritisation &amp; Categorisation</w:t>
            </w:r>
          </w:p>
        </w:tc>
        <w:tc>
          <w:tcPr>
            <w:tcW w:type="dxa" w:w="2880"/>
          </w:tcPr>
          <w:p>
            <w:r>
              <w:t>Criticality-based Prioritisation</w:t>
            </w:r>
          </w:p>
        </w:tc>
        <w:tc>
          <w:tcPr>
            <w:tcW w:type="dxa" w:w="2880"/>
          </w:tcPr>
          <w:p>
            <w:r>
              <w:t>INC priority is enriched using area criticality from the enrichment source — incidents in critical areas get a higher priority automatically.</w:t>
            </w:r>
          </w:p>
        </w:tc>
        <w:tc>
          <w:tcPr>
            <w:tcW w:type="dxa" w:w="3024"/>
          </w:tcPr>
          <w:p>
            <w:pPr>
              <w:pStyle w:val="ListBullet"/>
            </w:pPr>
            <w:r/>
            <w:r>
              <w:t>Define the priority matrix</w:t>
            </w:r>
          </w:p>
          <w:p>
            <w:pPr>
              <w:pStyle w:val="ListBullet"/>
            </w:pPr>
            <w:r>
              <w:t>Configure the SNOW (ServiceNow) business rule</w:t>
            </w:r>
          </w:p>
          <w:p>
            <w:pPr>
              <w:pStyle w:val="ListBullet"/>
            </w:pPr>
            <w:r>
              <w:t>Unit-test prioritisation</w:t>
            </w:r>
          </w:p>
        </w:tc>
      </w:tr>
      <w:tr>
        <w:tc>
          <w:tcPr>
            <w:tcW w:type="dxa" w:w="2016"/>
          </w:tcPr>
          <w:p>
            <w:r>
              <w:t>Reporting &amp; KPIs</w:t>
            </w:r>
          </w:p>
        </w:tc>
        <w:tc>
          <w:tcPr>
            <w:tcW w:type="dxa" w:w="2880"/>
          </w:tcPr>
          <w:p>
            <w:r>
              <w:t>KPI Instrumentation</w:t>
            </w:r>
          </w:p>
        </w:tc>
        <w:tc>
          <w:tcPr>
            <w:tcW w:type="dxa" w:w="2880"/>
          </w:tcPr>
          <w:p>
            <w:r>
              <w:t>Capture and report the workstream's KPIs (Reduce Mean Time to Resolve (MTTR), Time Savings). Each metric is emitted from the right point in the agent + lands on the Block dashboard.</w:t>
            </w:r>
          </w:p>
        </w:tc>
        <w:tc>
          <w:tcPr>
            <w:tcW w:type="dxa" w:w="3024"/>
          </w:tcPr>
          <w:p>
            <w:pPr>
              <w:pStyle w:val="ListBullet"/>
            </w:pPr>
            <w:r/>
            <w:r>
              <w:t>Emit metric data points from the agent</w:t>
            </w:r>
          </w:p>
          <w:p>
            <w:pPr>
              <w:pStyle w:val="ListBullet"/>
            </w:pPr>
            <w:r>
              <w:t>Build dashboard tiles</w:t>
            </w:r>
          </w:p>
          <w:p>
            <w:pPr>
              <w:pStyle w:val="ListBullet"/>
            </w:pPr>
            <w:r>
              <w:t>Smoke-test the metric pipeline</w:t>
            </w:r>
          </w:p>
        </w:tc>
      </w:tr>
      <w:tr>
        <w:tc>
          <w:tcPr>
            <w:tcW w:type="dxa" w:w="2016"/>
          </w:tcPr>
          <w:p>
            <w:r>
              <w:t>Reporting &amp; KPIs</w:t>
            </w:r>
          </w:p>
        </w:tc>
        <w:tc>
          <w:tcPr>
            <w:tcW w:type="dxa" w:w="2880"/>
          </w:tcPr>
          <w:p>
            <w:r>
              <w:t>Before / After measurement baseline</w:t>
            </w:r>
          </w:p>
        </w:tc>
        <w:tc>
          <w:tcPr>
            <w:tcW w:type="dxa" w:w="2880"/>
          </w:tcPr>
          <w:p>
            <w:r>
              <w:t>Establish baseline measurements for MTTR (Mean Time To Resolve) and ticket volume on the MVP issue type BEFORE the agent goes live — so the post-activation impact can be measured. Specific metrics flagged by the SME: Time saved, MTTR (Mean Time To Resolve), Cost.</w:t>
            </w:r>
          </w:p>
        </w:tc>
        <w:tc>
          <w:tcPr>
            <w:tcW w:type="dxa" w:w="3024"/>
          </w:tcPr>
          <w:p>
            <w:pPr>
              <w:pStyle w:val="ListBullet"/>
            </w:pPr>
            <w:r/>
            <w:r>
              <w:t>Pull historical baseline data</w:t>
            </w:r>
          </w:p>
          <w:p>
            <w:pPr>
              <w:pStyle w:val="ListBullet"/>
            </w:pPr>
            <w:r>
              <w:t>Compute pre-activation metrics</w:t>
            </w:r>
          </w:p>
          <w:p>
            <w:pPr>
              <w:pStyle w:val="ListBullet"/>
            </w:pPr>
            <w:r>
              <w:t>Document the baseline</w:t>
            </w:r>
          </w:p>
        </w:tc>
      </w:tr>
      <w:tr>
        <w:tc>
          <w:tcPr>
            <w:tcW w:type="dxa" w:w="2016"/>
          </w:tcPr>
          <w:p>
            <w:r>
              <w:t>Build &amp; Testing</w:t>
            </w:r>
          </w:p>
        </w:tc>
        <w:tc>
          <w:tcPr>
            <w:tcW w:type="dxa" w:w="2880"/>
          </w:tcPr>
          <w:p>
            <w:r>
              <w:t>Review workbook with SME (Subject-Matter Expert)</w:t>
            </w:r>
          </w:p>
        </w:tc>
        <w:tc>
          <w:tcPr>
            <w:tcW w:type="dxa" w:w="2880"/>
          </w:tcPr>
          <w:p>
            <w:r>
              <w:t>Engineer + SME (Subject-Matter Expert) walk through the workbook together to confirm decisions, outcomes, and investigation steps are correct, and resolve any NEEDS-DISAMBIGUATION entries in the translations log. Sign-off captured before any code is written.</w:t>
            </w:r>
          </w:p>
        </w:tc>
        <w:tc>
          <w:tcPr>
            <w:tcW w:type="dxa" w:w="3024"/>
          </w:tcPr>
          <w:p>
            <w:pPr>
              <w:pStyle w:val="ListBullet"/>
            </w:pPr>
            <w:r/>
            <w:r>
              <w:t>Schedule the walkthrough meeting</w:t>
            </w:r>
          </w:p>
          <w:p>
            <w:pPr>
              <w:pStyle w:val="ListBullet"/>
            </w:pPr>
            <w:r>
              <w:t>Walk through the workbook with the SME</w:t>
            </w:r>
          </w:p>
          <w:p>
            <w:pPr>
              <w:pStyle w:val="ListBullet"/>
            </w:pPr>
            <w:r>
              <w:t>Capture SME sign-off</w:t>
            </w:r>
          </w:p>
        </w:tc>
      </w:tr>
      <w:tr>
        <w:tc>
          <w:tcPr>
            <w:tcW w:type="dxa" w:w="2016"/>
          </w:tcPr>
          <w:p>
            <w:r>
              <w:t>Build &amp; Testing</w:t>
            </w:r>
          </w:p>
        </w:tc>
        <w:tc>
          <w:tcPr>
            <w:tcW w:type="dxa" w:w="2880"/>
          </w:tcPr>
          <w:p>
            <w:r>
              <w:t>Generate workflow JSON and review coverage</w:t>
            </w:r>
          </w:p>
        </w:tc>
        <w:tc>
          <w:tcPr>
            <w:tcW w:type="dxa" w:w="2880"/>
          </w:tcPr>
          <w:p>
            <w:r>
              <w:t>Engineer invokes `/nucleus-build-n8n-workflow` against the reviewed workbook. The skill produces the n8n workflow JSON plus a coverage matrix mapping every workbook row to the nodes it produced. Engineer verifies zero un-covered rows.</w:t>
            </w:r>
          </w:p>
        </w:tc>
        <w:tc>
          <w:tcPr>
            <w:tcW w:type="dxa" w:w="3024"/>
          </w:tcPr>
          <w:p>
            <w:pPr>
              <w:pStyle w:val="ListBullet"/>
            </w:pPr>
            <w:r/>
            <w:r>
              <w:t>Run `/nucleus-build-n8n-workflow` against the workbook</w:t>
            </w:r>
          </w:p>
          <w:p>
            <w:pPr>
              <w:pStyle w:val="ListBullet"/>
            </w:pPr>
            <w:r>
              <w:t>Review the coverage matrix</w:t>
            </w:r>
          </w:p>
          <w:p>
            <w:pPr>
              <w:pStyle w:val="ListBullet"/>
            </w:pPr>
            <w:r>
              <w:t>Address any zero-coverage rows</w:t>
            </w:r>
          </w:p>
        </w:tc>
      </w:tr>
      <w:tr>
        <w:tc>
          <w:tcPr>
            <w:tcW w:type="dxa" w:w="2016"/>
          </w:tcPr>
          <w:p>
            <w:r>
              <w:t>Build &amp; Testing</w:t>
            </w:r>
          </w:p>
        </w:tc>
        <w:tc>
          <w:tcPr>
            <w:tcW w:type="dxa" w:w="2880"/>
          </w:tcPr>
          <w:p>
            <w:r>
              <w:t>Deploy workflow to n8n</w:t>
            </w:r>
          </w:p>
        </w:tc>
        <w:tc>
          <w:tcPr>
            <w:tcW w:type="dxa" w:w="2880"/>
          </w:tcPr>
          <w:p>
            <w:r>
              <w:t>Engineer deploys the generated workflow JSON to the live n8n instance in **paused** state. Workflow URL captured for the smoke-test story. Blocked by any conditional engineering setup stories below.</w:t>
            </w:r>
          </w:p>
        </w:tc>
        <w:tc>
          <w:tcPr>
            <w:tcW w:type="dxa" w:w="3024"/>
          </w:tcPr>
          <w:p>
            <w:pPr>
              <w:pStyle w:val="ListBullet"/>
            </w:pPr>
            <w:r/>
            <w:r>
              <w:t>Validate the workflow JSON</w:t>
            </w:r>
          </w:p>
          <w:p>
            <w:pPr>
              <w:pStyle w:val="ListBullet"/>
            </w:pPr>
            <w:r>
              <w:t>Deploy to n8n in paused state</w:t>
            </w:r>
          </w:p>
          <w:p>
            <w:pPr>
              <w:pStyle w:val="ListBullet"/>
            </w:pPr>
            <w:r>
              <w:t>Capture the workflow URL</w:t>
            </w:r>
          </w:p>
        </w:tc>
      </w:tr>
      <w:tr>
        <w:tc>
          <w:tcPr>
            <w:tcW w:type="dxa" w:w="2016"/>
          </w:tcPr>
          <w:p>
            <w:r>
              <w:t>Build &amp; Testing</w:t>
            </w:r>
          </w:p>
        </w:tc>
        <w:tc>
          <w:tcPr>
            <w:tcW w:type="dxa" w:w="2880"/>
          </w:tcPr>
          <w:p>
            <w:r>
              <w:t>Manual smoke test</w:t>
            </w:r>
          </w:p>
        </w:tc>
        <w:tc>
          <w:tcPr>
            <w:tcW w:type="dxa" w:w="2880"/>
          </w:tcPr>
          <w:p>
            <w:r>
              <w:t>Engineer + SME (Subject-Matter Expert) coordinate a safe input; trigger the workflow manually via n8n's Execute Workflow button; verify investigation steps run cleanly, decision branches resolve correctly, outcome matches SME expectation, Webex milestones fire, SNOW (ServiceNow) update applied. SME signs off.</w:t>
            </w:r>
          </w:p>
        </w:tc>
        <w:tc>
          <w:tcPr>
            <w:tcW w:type="dxa" w:w="3024"/>
          </w:tcPr>
          <w:p>
            <w:pPr>
              <w:pStyle w:val="ListBullet"/>
            </w:pPr>
            <w:r/>
            <w:r>
              <w:t>Coordinate a safe input with the SME (Subject-Matter Expert)</w:t>
            </w:r>
          </w:p>
          <w:p>
            <w:pPr>
              <w:pStyle w:val="ListBullet"/>
            </w:pPr>
            <w:r>
              <w:t>Trigger the workflow manually</w:t>
            </w:r>
          </w:p>
          <w:p>
            <w:pPr>
              <w:pStyle w:val="ListBullet"/>
            </w:pPr>
            <w:r>
              <w:t>Verify outcome matches SME expectation</w:t>
            </w:r>
          </w:p>
        </w:tc>
      </w:tr>
      <w:tr>
        <w:tc>
          <w:tcPr>
            <w:tcW w:type="dxa" w:w="2016"/>
          </w:tcPr>
          <w:p>
            <w:r>
              <w:t>Build &amp; Testing</w:t>
            </w:r>
          </w:p>
        </w:tc>
        <w:tc>
          <w:tcPr>
            <w:tcW w:type="dxa" w:w="2880"/>
          </w:tcPr>
          <w:p>
            <w:r>
              <w:t>Activate workflow and monitor first run</w:t>
            </w:r>
          </w:p>
        </w:tc>
        <w:tc>
          <w:tcPr>
            <w:tcW w:type="dxa" w:w="2880"/>
          </w:tcPr>
          <w:p>
            <w:r>
              <w:t>Engineer toggles the workflow from paused → active; monitors the first real triggered execution; verifies it completed cleanly; tells the SME (Subject-Matter Expert) the agent is live. No regressions within the monitoring window.</w:t>
            </w:r>
          </w:p>
        </w:tc>
        <w:tc>
          <w:tcPr>
            <w:tcW w:type="dxa" w:w="3024"/>
          </w:tcPr>
          <w:p>
            <w:pPr>
              <w:pStyle w:val="ListBullet"/>
            </w:pPr>
            <w:r/>
            <w:r>
              <w:t>Toggle the workflow from paused to active</w:t>
            </w:r>
          </w:p>
          <w:p>
            <w:pPr>
              <w:pStyle w:val="ListBullet"/>
            </w:pPr>
            <w:r>
              <w:t>Monitor the first real triggered execution</w:t>
            </w:r>
          </w:p>
          <w:p>
            <w:pPr>
              <w:pStyle w:val="ListBullet"/>
            </w:pPr>
            <w:r>
              <w:t>Confirm with the SME (Subject-Matter Expert) the agent is live</w:t>
            </w:r>
          </w:p>
        </w:tc>
      </w:tr>
      <w:tr>
        <w:tc>
          <w:tcPr>
            <w:tcW w:type="dxa" w:w="2016"/>
          </w:tcPr>
          <w:p>
            <w:r>
              <w:t>Release Checklist</w:t>
            </w:r>
          </w:p>
        </w:tc>
        <w:tc>
          <w:tcPr>
            <w:tcW w:type="dxa" w:w="2880"/>
          </w:tcPr>
          <w:p>
            <w:r>
              <w:t>Release checklist - Communications plan agreed</w:t>
            </w:r>
          </w:p>
        </w:tc>
        <w:tc>
          <w:tcPr>
            <w:tcW w:type="dxa" w:w="2880"/>
          </w:tcPr>
          <w:p>
            <w:r>
              <w:t>Agree the communications plan for launch (blogs, social, internal channels, customer notices) before activation.</w:t>
            </w:r>
          </w:p>
        </w:tc>
        <w:tc>
          <w:tcPr>
            <w:tcW w:type="dxa" w:w="3024"/>
          </w:tcPr>
          <w:p>
            <w:pPr>
              <w:pStyle w:val="ListBullet"/>
            </w:pPr>
            <w:r/>
            <w:r>
              <w:t>Identify channels + audiences</w:t>
            </w:r>
          </w:p>
          <w:p>
            <w:pPr>
              <w:pStyle w:val="ListBullet"/>
            </w:pPr>
            <w:r>
              <w:t>Draft messages for each channel</w:t>
            </w:r>
          </w:p>
          <w:p>
            <w:pPr>
              <w:pStyle w:val="ListBullet"/>
            </w:pPr>
            <w:r>
              <w:t>Agree timing + sequencing</w:t>
            </w:r>
          </w:p>
        </w:tc>
      </w:tr>
      <w:tr>
        <w:tc>
          <w:tcPr>
            <w:tcW w:type="dxa" w:w="2016"/>
          </w:tcPr>
          <w:p>
            <w:r>
              <w:t>Release Checklist</w:t>
            </w:r>
          </w:p>
        </w:tc>
        <w:tc>
          <w:tcPr>
            <w:tcW w:type="dxa" w:w="2880"/>
          </w:tcPr>
          <w:p>
            <w:r>
              <w:t>Release checklist - Product brief created and presented to Sales</w:t>
            </w:r>
          </w:p>
        </w:tc>
        <w:tc>
          <w:tcPr>
            <w:tcW w:type="dxa" w:w="2880"/>
          </w:tcPr>
          <w:p>
            <w:r>
              <w:t>The Product Brief Word document (generated by this planning skill) is presented to Sales so they understand the new capability.</w:t>
            </w:r>
          </w:p>
        </w:tc>
        <w:tc>
          <w:tcPr>
            <w:tcW w:type="dxa" w:w="3024"/>
          </w:tcPr>
          <w:p>
            <w:pPr>
              <w:pStyle w:val="ListBullet"/>
            </w:pPr>
            <w:r/>
            <w:r>
              <w:t>Review the auto-generated Product Brief Word document</w:t>
            </w:r>
          </w:p>
          <w:p>
            <w:pPr>
              <w:pStyle w:val="ListBullet"/>
            </w:pPr>
            <w:r>
              <w:t>Schedule the Sales presentation</w:t>
            </w:r>
          </w:p>
          <w:p>
            <w:pPr>
              <w:pStyle w:val="ListBullet"/>
            </w:pPr>
            <w:r>
              <w:t>Deliver the briefing</w:t>
            </w:r>
          </w:p>
        </w:tc>
      </w:tr>
      <w:tr>
        <w:tc>
          <w:tcPr>
            <w:tcW w:type="dxa" w:w="2016"/>
          </w:tcPr>
          <w:p>
            <w:r>
              <w:t>Release Checklist</w:t>
            </w:r>
          </w:p>
        </w:tc>
        <w:tc>
          <w:tcPr>
            <w:tcW w:type="dxa" w:w="2880"/>
          </w:tcPr>
          <w:p>
            <w:r>
              <w:t>Release checklist - Commercial check with technical pre-sales</w:t>
            </w:r>
          </w:p>
        </w:tc>
        <w:tc>
          <w:tcPr>
            <w:tcW w:type="dxa" w:w="2880"/>
          </w:tcPr>
          <w:p>
            <w:r>
              <w:t>Complete the commercial check with technical pre-sales — pricing, licensing, support implications, CAB (Change Advisory Board) requirements where applicable.</w:t>
            </w:r>
          </w:p>
        </w:tc>
        <w:tc>
          <w:tcPr>
            <w:tcW w:type="dxa" w:w="3024"/>
          </w:tcPr>
          <w:p>
            <w:pPr>
              <w:pStyle w:val="ListBullet"/>
            </w:pPr>
            <w:r/>
            <w:r>
              <w:t>Brief Block pre-sales / sales on the new capability</w:t>
            </w:r>
          </w:p>
          <w:p>
            <w:pPr>
              <w:pStyle w:val="ListBullet"/>
            </w:pPr>
            <w:r>
              <w:t>Schedule customer CAB (Change Advisory Board) approval</w:t>
            </w:r>
          </w:p>
          <w:p>
            <w:pPr>
              <w:pStyle w:val="ListBullet"/>
            </w:pPr>
            <w:r>
              <w:t>Complete the commercial check with technical pre-sales</w:t>
            </w:r>
          </w:p>
        </w:tc>
      </w:tr>
      <w:tr>
        <w:tc>
          <w:tcPr>
            <w:tcW w:type="dxa" w:w="2016"/>
          </w:tcPr>
          <w:p>
            <w:r>
              <w:t>Release Checklist</w:t>
            </w:r>
          </w:p>
        </w:tc>
        <w:tc>
          <w:tcPr>
            <w:tcW w:type="dxa" w:w="2880"/>
          </w:tcPr>
          <w:p>
            <w:r>
              <w:t>Release checklist - Implementation guide ready</w:t>
            </w:r>
          </w:p>
        </w:tc>
        <w:tc>
          <w:tcPr>
            <w:tcW w:type="dxa" w:w="2880"/>
          </w:tcPr>
          <w:p>
            <w:r>
              <w:t>Prepare the implementation guide covering transition approach, rollback plan, customer onboarding steps.</w:t>
            </w:r>
          </w:p>
        </w:tc>
        <w:tc>
          <w:tcPr>
            <w:tcW w:type="dxa" w:w="3024"/>
          </w:tcPr>
          <w:p>
            <w:pPr>
              <w:pStyle w:val="ListBullet"/>
            </w:pPr>
            <w:r/>
            <w:r>
              <w:t>Draft the implementation guide</w:t>
            </w:r>
          </w:p>
          <w:p>
            <w:pPr>
              <w:pStyle w:val="ListBullet"/>
            </w:pPr>
            <w:r>
              <w:t>Review with engineering</w:t>
            </w:r>
          </w:p>
          <w:p>
            <w:pPr>
              <w:pStyle w:val="ListBullet"/>
            </w:pPr>
            <w:r>
              <w:t>Publish + link from the brief</w:t>
            </w:r>
          </w:p>
        </w:tc>
      </w:tr>
      <w:tr>
        <w:tc>
          <w:tcPr>
            <w:tcW w:type="dxa" w:w="2016"/>
          </w:tcPr>
          <w:p>
            <w:r>
              <w:t>Release Checklist</w:t>
            </w:r>
          </w:p>
        </w:tc>
        <w:tc>
          <w:tcPr>
            <w:tcW w:type="dxa" w:w="2880"/>
          </w:tcPr>
          <w:p>
            <w:r>
              <w:t>Release checklist - Managed services documentation complete</w:t>
            </w:r>
          </w:p>
        </w:tc>
        <w:tc>
          <w:tcPr>
            <w:tcW w:type="dxa" w:w="2880"/>
          </w:tcPr>
          <w:p>
            <w:r>
              <w:t>Complete the managed-services documentation — runbook for the service desk, escalation paths, expected ticket patterns.</w:t>
            </w:r>
          </w:p>
        </w:tc>
        <w:tc>
          <w:tcPr>
            <w:tcW w:type="dxa" w:w="3024"/>
          </w:tcPr>
          <w:p>
            <w:pPr>
              <w:pStyle w:val="ListBullet"/>
            </w:pPr>
            <w:r/>
            <w:r>
              <w:t>Draft the runbook</w:t>
            </w:r>
          </w:p>
          <w:p>
            <w:pPr>
              <w:pStyle w:val="ListBullet"/>
            </w:pPr>
            <w:r>
              <w:t>Review with the service desk team</w:t>
            </w:r>
          </w:p>
          <w:p>
            <w:pPr>
              <w:pStyle w:val="ListBullet"/>
            </w:pPr>
            <w:r>
              <w:t>Hand off the runbook</w:t>
            </w:r>
          </w:p>
        </w:tc>
      </w:tr>
      <w:tr>
        <w:tc>
          <w:tcPr>
            <w:tcW w:type="dxa" w:w="2016"/>
          </w:tcPr>
          <w:p>
            <w:r>
              <w:t>Release Checklist</w:t>
            </w:r>
          </w:p>
        </w:tc>
        <w:tc>
          <w:tcPr>
            <w:tcW w:type="dxa" w:w="2880"/>
          </w:tcPr>
          <w:p>
            <w:r>
              <w:t>Release checklist - Client communications sent</w:t>
            </w:r>
          </w:p>
        </w:tc>
        <w:tc>
          <w:tcPr>
            <w:tcW w:type="dxa" w:w="2880"/>
          </w:tcPr>
          <w:p>
            <w:r>
              <w:t>Send the required client + internal communications through the appropriate channels before the agent goes live. One Task per audience (Sheet 6 driven).</w:t>
            </w:r>
          </w:p>
        </w:tc>
        <w:tc>
          <w:tcPr>
            <w:tcW w:type="dxa" w:w="3024"/>
          </w:tcPr>
          <w:p>
            <w:pPr>
              <w:pStyle w:val="ListBullet"/>
            </w:pPr>
            <w:r/>
            <w:r>
              <w:t>Notify internal stakeholder: Network Operations team channel</w:t>
            </w:r>
          </w:p>
          <w:p>
            <w:pPr>
              <w:pStyle w:val="ListBullet"/>
            </w:pPr>
            <w:r>
              <w:t>Notify internal stakeholder: Network Manager</w:t>
            </w:r>
          </w:p>
          <w:p>
            <w:pPr>
              <w:pStyle w:val="ListBullet"/>
            </w:pPr>
            <w:r>
              <w:t>Notify internal stakeholder: Service Owner</w:t>
            </w:r>
          </w:p>
        </w:tc>
      </w:tr>
      <w:tr>
        <w:tc>
          <w:tcPr>
            <w:tcW w:type="dxa" w:w="2016"/>
          </w:tcPr>
          <w:p>
            <w:r>
              <w:t>Release Checklist</w:t>
            </w:r>
          </w:p>
        </w:tc>
        <w:tc>
          <w:tcPr>
            <w:tcW w:type="dxa" w:w="2880"/>
          </w:tcPr>
          <w:p>
            <w:r>
              <w:t>Release checklist - Success metrics defined</w:t>
            </w:r>
          </w:p>
        </w:tc>
        <w:tc>
          <w:tcPr>
            <w:tcW w:type="dxa" w:w="2880"/>
          </w:tcPr>
          <w:p>
            <w:r>
              <w:t>Define the success metrics, baseline measures, and feedback loops so post-activation impact is measurable. One Task per metric flagged on Sheet 5.</w:t>
            </w:r>
          </w:p>
        </w:tc>
        <w:tc>
          <w:tcPr>
            <w:tcW w:type="dxa" w:w="3024"/>
          </w:tcPr>
          <w:p>
            <w:pPr>
              <w:pStyle w:val="ListBullet"/>
            </w:pPr>
            <w:r/>
            <w:r>
              <w:t>Define + instrument 'Time saved by the process' metric</w:t>
            </w:r>
          </w:p>
          <w:p>
            <w:pPr>
              <w:pStyle w:val="ListBullet"/>
            </w:pPr>
            <w:r>
              <w:t>Define + instrument 'MTTR (Mean Time To Resolve)' metric</w:t>
            </w:r>
          </w:p>
          <w:p>
            <w:pPr>
              <w:pStyle w:val="ListBullet"/>
            </w:pPr>
            <w:r>
              <w:t>Define + instrument 'Operational cost' metric</w:t>
            </w:r>
          </w:p>
        </w:tc>
      </w:tr>
    </w:tbl>
    <w:p>
      <w:pPr>
        <w:sectPr>
          <w:pgSz w:w="12240" w:h="15840"/>
          <w:pgMar w:top="576" w:right="720" w:bottom="576" w:left="720" w:header="720" w:footer="720" w:gutter="0"/>
          <w:cols w:space="720"/>
          <w:docGrid w:linePitch="360"/>
        </w:sectPr>
      </w:pPr>
    </w:p>
    <w:p>
      <w:pPr>
        <w:pStyle w:val="Heading1"/>
        <w:jc w:val="left"/>
      </w:pPr>
      <w:r>
        <w:t>Appendix B — Troubleshooting flow</w:t>
      </w:r>
    </w:p>
    <w:p>
      <w:r>
        <w:t>The diagram below is the SME (Subject-Matter Expert)'s captured troubleshooting flow for this scenario. Auto-close outcomes are green; leave-open (engineer-review) outcomes are amber. Dashed grey boxes (if any) flag decision branches that point at a Step or Outcome the SME didn't capture in the workbook — those need resolving before build.</w:t>
      </w:r>
    </w:p>
    <w:p>
      <w:r>
        <w:drawing>
          <wp:inline xmlns:a="http://schemas.openxmlformats.org/drawingml/2006/main" xmlns:pic="http://schemas.openxmlformats.org/drawingml/2006/picture">
            <wp:extent cx="6858000" cy="46207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a005_switch_power_issue_workflow_process-ma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207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i/>
          <w:sz w:val="18"/>
        </w:rPr>
        <w:t>Auto-generated from workbook Sheets 2 (Decision Logic), 3 (Investigation Steps), 4 (Outcomes).</w:t>
      </w:r>
    </w:p>
    <w:sectPr w:rsidR="00FC693F" w:rsidRPr="0006063C" w:rsidSect="00034616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